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2" w:rsidRDefault="008A5B52" w:rsidP="008A5B52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к письму     </w:t>
      </w:r>
    </w:p>
    <w:p w:rsidR="000078CD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 </w:t>
      </w:r>
    </w:p>
    <w:p w:rsidR="008A5B52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</w:t>
      </w:r>
      <w:proofErr w:type="gramStart"/>
      <w:r w:rsidR="004D4BD5">
        <w:rPr>
          <w:bCs/>
          <w:szCs w:val="28"/>
        </w:rPr>
        <w:t>от</w:t>
      </w:r>
      <w:r>
        <w:rPr>
          <w:bCs/>
          <w:szCs w:val="28"/>
        </w:rPr>
        <w:t xml:space="preserve">  </w:t>
      </w:r>
      <w:r w:rsidR="000078CD">
        <w:rPr>
          <w:bCs/>
          <w:szCs w:val="28"/>
        </w:rPr>
        <w:t>29.01.2021</w:t>
      </w:r>
      <w:proofErr w:type="gramEnd"/>
      <w:r w:rsidR="000078CD">
        <w:rPr>
          <w:bCs/>
          <w:szCs w:val="28"/>
        </w:rPr>
        <w:t xml:space="preserve"> №248ин/01-15</w:t>
      </w:r>
      <w:r>
        <w:rPr>
          <w:bCs/>
          <w:szCs w:val="28"/>
        </w:rPr>
        <w:t xml:space="preserve">                                                                                                            </w:t>
      </w:r>
    </w:p>
    <w:p w:rsidR="008A5B52" w:rsidRPr="00BC7200" w:rsidRDefault="008A5B52" w:rsidP="008A5B5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  <w:bookmarkStart w:id="0" w:name="_GoBack"/>
      <w:bookmarkEnd w:id="0"/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Инструкции</w:t>
      </w:r>
      <w:r w:rsidR="00345FF2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</w:t>
      </w:r>
      <w:r w:rsidR="004D4BD5">
        <w:rPr>
          <w:b/>
          <w:sz w:val="28"/>
          <w:szCs w:val="28"/>
        </w:rPr>
        <w:t>21</w:t>
      </w:r>
    </w:p>
    <w:p w:rsidR="008A5B52" w:rsidRDefault="008A5B52" w:rsidP="008A5B52">
      <w:pPr>
        <w:rPr>
          <w:b/>
          <w:sz w:val="28"/>
          <w:szCs w:val="28"/>
        </w:rPr>
      </w:pPr>
    </w:p>
    <w:p w:rsidR="0084797C" w:rsidRDefault="0084797C" w:rsidP="008A5B52">
      <w:pPr>
        <w:rPr>
          <w:b/>
          <w:sz w:val="28"/>
          <w:szCs w:val="28"/>
        </w:rPr>
      </w:pPr>
    </w:p>
    <w:p w:rsidR="008A5B52" w:rsidRDefault="008A5B52" w:rsidP="008A5B52">
      <w:pPr>
        <w:rPr>
          <w:b/>
          <w:sz w:val="28"/>
          <w:szCs w:val="28"/>
        </w:rPr>
      </w:pPr>
    </w:p>
    <w:p w:rsidR="00245F6E" w:rsidRDefault="00245F6E" w:rsidP="008A5B52">
      <w:pPr>
        <w:rPr>
          <w:b/>
          <w:sz w:val="28"/>
          <w:szCs w:val="28"/>
        </w:rPr>
      </w:pPr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>
        <w:rPr>
          <w:sz w:val="26"/>
          <w:szCs w:val="26"/>
        </w:rPr>
        <w:t xml:space="preserve">  ……..…………………………………………………………………………</w:t>
      </w:r>
      <w:r w:rsidR="008E56AA">
        <w:rPr>
          <w:sz w:val="26"/>
          <w:szCs w:val="26"/>
        </w:rPr>
        <w:t xml:space="preserve">…… 1         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="008E56AA">
        <w:rPr>
          <w:sz w:val="26"/>
          <w:szCs w:val="26"/>
        </w:rPr>
        <w:t>..3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8E56AA">
        <w:rPr>
          <w:sz w:val="26"/>
          <w:szCs w:val="26"/>
        </w:rPr>
        <w:t xml:space="preserve"> ………………………………….5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8E56AA">
        <w:rPr>
          <w:sz w:val="26"/>
          <w:szCs w:val="26"/>
        </w:rPr>
        <w:t>………………………………………………………8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8E56AA">
        <w:rPr>
          <w:sz w:val="26"/>
          <w:szCs w:val="26"/>
        </w:rPr>
        <w:t>………9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8E56AA">
        <w:rPr>
          <w:sz w:val="26"/>
          <w:szCs w:val="26"/>
        </w:rPr>
        <w:t>у……...10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8E56AA">
        <w:rPr>
          <w:sz w:val="26"/>
          <w:szCs w:val="26"/>
        </w:rPr>
        <w:t>……………………………….14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8E56AA">
        <w:rPr>
          <w:sz w:val="26"/>
          <w:szCs w:val="26"/>
        </w:rPr>
        <w:t xml:space="preserve"> …………………...15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8E56AA">
        <w:rPr>
          <w:sz w:val="26"/>
          <w:szCs w:val="26"/>
        </w:rPr>
        <w:t>…………………………………………………………………………………</w:t>
      </w:r>
      <w:r w:rsidR="00A62C87">
        <w:rPr>
          <w:sz w:val="26"/>
          <w:szCs w:val="26"/>
        </w:rPr>
        <w:t>…</w:t>
      </w:r>
      <w:r w:rsidR="008E56AA">
        <w:rPr>
          <w:sz w:val="26"/>
          <w:szCs w:val="26"/>
        </w:rPr>
        <w:t>16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62C87">
        <w:rPr>
          <w:sz w:val="26"/>
          <w:szCs w:val="26"/>
        </w:rPr>
        <w:t>…………………..17</w:t>
      </w:r>
    </w:p>
    <w:p w:rsidR="0084797C" w:rsidRDefault="0084797C" w:rsidP="00A62C87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97C" w:rsidRPr="0084797C" w:rsidRDefault="0084797C" w:rsidP="00A62C87">
      <w:pPr>
        <w:spacing w:line="360" w:lineRule="auto"/>
        <w:rPr>
          <w:sz w:val="26"/>
          <w:szCs w:val="26"/>
        </w:rPr>
        <w:sectPr w:rsidR="0084797C" w:rsidRPr="0084797C" w:rsidSect="00D24479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docGrid w:linePitch="360"/>
        </w:sect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"/>
    </w:p>
    <w:p w:rsidR="009432B9" w:rsidRPr="00BC7200" w:rsidRDefault="009432B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4D4BD5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ВкачествеответственногоорганизаторапривлекаетсяруководительООили заместитель руководителя ОО, на базе которой проводится итоговое собеседование по русскому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итогового собеседования по русскому   языку (далее – итоговое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 xml:space="preserve"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- </w:t>
      </w:r>
      <w:proofErr w:type="gramStart"/>
      <w:r w:rsidRPr="00781C21">
        <w:rPr>
          <w:sz w:val="26"/>
          <w:szCs w:val="26"/>
        </w:rPr>
        <w:t>ФГБНУ«</w:t>
      </w:r>
      <w:proofErr w:type="gramEnd"/>
      <w:r w:rsidRPr="00781C21">
        <w:rPr>
          <w:sz w:val="26"/>
          <w:szCs w:val="26"/>
        </w:rPr>
        <w:t>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871AD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необходимо выполнить следующие подготовительные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Осуществить   контроль   за   получением   техническим    специалистом   </w:t>
      </w:r>
      <w:r w:rsidR="005F3226">
        <w:rPr>
          <w:sz w:val="26"/>
          <w:szCs w:val="26"/>
        </w:rPr>
        <w:t>из РЦОИ</w:t>
      </w:r>
      <w:r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jc w:val="both"/>
        <w:rPr>
          <w:sz w:val="26"/>
          <w:szCs w:val="26"/>
        </w:rPr>
        <w:sectPr w:rsidR="00781C21" w:rsidRPr="005F3226" w:rsidSect="00781C21">
          <w:pgSz w:w="11910" w:h="16840"/>
          <w:pgMar w:top="1040" w:right="580" w:bottom="280" w:left="600" w:header="720" w:footer="720" w:gutter="0"/>
          <w:cols w:space="720"/>
        </w:sectPr>
      </w:pP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lastRenderedPageBreak/>
        <w:t>Определить и подготовить помещения, используемые для проведения итогового собеседования:</w:t>
      </w:r>
    </w:p>
    <w:p w:rsidR="00781C21" w:rsidRPr="005F3226" w:rsidRDefault="00871ADB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5F3226">
        <w:rPr>
          <w:sz w:val="26"/>
          <w:szCs w:val="26"/>
        </w:rPr>
        <w:t>таб</w:t>
      </w:r>
      <w:r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ОО;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    ожидания     для     участников     итогового     собеседования (по решению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ОО);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места для хранения личных вещей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</w:t>
      </w:r>
      <w:r w:rsidR="005F3226">
        <w:rPr>
          <w:sz w:val="26"/>
          <w:szCs w:val="26"/>
        </w:rPr>
        <w:t xml:space="preserve"> и </w:t>
      </w:r>
      <w:r w:rsidRPr="005F3226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985C6B">
      <w:pPr>
        <w:pStyle w:val="ad"/>
        <w:spacing w:line="321" w:lineRule="exact"/>
        <w:ind w:left="0" w:firstLine="107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22597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81C21" w:rsidRPr="00DA50B4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оборудованием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(по 2 на каждую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аудиторию:1     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Pr="00DA50B4">
        <w:rPr>
          <w:spacing w:val="-3"/>
          <w:sz w:val="26"/>
          <w:szCs w:val="26"/>
        </w:rPr>
        <w:t xml:space="preserve">за   </w:t>
      </w:r>
      <w:r w:rsidRPr="00DA50B4">
        <w:rPr>
          <w:spacing w:val="-5"/>
          <w:sz w:val="26"/>
          <w:szCs w:val="26"/>
        </w:rPr>
        <w:t xml:space="preserve">выполнением   техническим   специалистом </w:t>
      </w:r>
      <w:proofErr w:type="spellStart"/>
      <w:r w:rsidRPr="00DA50B4">
        <w:rPr>
          <w:spacing w:val="-4"/>
          <w:sz w:val="26"/>
          <w:szCs w:val="26"/>
        </w:rPr>
        <w:t>работ</w:t>
      </w:r>
      <w:r w:rsidRPr="00DA50B4">
        <w:rPr>
          <w:spacing w:val="-3"/>
          <w:sz w:val="26"/>
          <w:szCs w:val="26"/>
        </w:rPr>
        <w:t>по</w:t>
      </w:r>
      <w:proofErr w:type="spellEnd"/>
      <w:r w:rsidRPr="00DA50B4">
        <w:rPr>
          <w:spacing w:val="-3"/>
          <w:sz w:val="26"/>
          <w:szCs w:val="26"/>
        </w:rPr>
        <w:t>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225972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 вне аудитории.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25972" w:rsidRP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225972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Не позднее чем за 60 минут до начала проведения итогового собеседования совместно с </w:t>
      </w:r>
      <w:r>
        <w:rPr>
          <w:sz w:val="26"/>
          <w:szCs w:val="26"/>
        </w:rPr>
        <w:t xml:space="preserve">техническим специалистом </w:t>
      </w:r>
      <w:r w:rsidRPr="00C06D96">
        <w:rPr>
          <w:sz w:val="26"/>
          <w:szCs w:val="26"/>
        </w:rPr>
        <w:t xml:space="preserve">получает через </w:t>
      </w:r>
      <w:r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0" w:history="1">
        <w:r w:rsidRPr="00FD7D7A">
          <w:rPr>
            <w:rStyle w:val="a6"/>
            <w:sz w:val="26"/>
            <w:szCs w:val="26"/>
          </w:rPr>
          <w:t>http://rcoi58.ru</w:t>
        </w:r>
      </w:hyperlink>
      <w:r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 xml:space="preserve">) </w:t>
      </w:r>
      <w:r w:rsidR="005F3226" w:rsidRPr="00DA50B4">
        <w:rPr>
          <w:sz w:val="26"/>
          <w:szCs w:val="26"/>
        </w:rPr>
        <w:t>и растиражировать материалы для проведения итогового</w:t>
      </w:r>
      <w:r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="005F3226"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 xml:space="preserve">для    экзаменатора-собеседника  </w:t>
      </w:r>
      <w:proofErr w:type="gramStart"/>
      <w:r w:rsidRPr="00DA50B4">
        <w:rPr>
          <w:sz w:val="26"/>
          <w:szCs w:val="26"/>
        </w:rPr>
        <w:t xml:space="preserve">   (</w:t>
      </w:r>
      <w:proofErr w:type="gramEnd"/>
      <w:r w:rsidRPr="00DA50B4">
        <w:rPr>
          <w:sz w:val="26"/>
          <w:szCs w:val="26"/>
        </w:rPr>
        <w:t>карточки     экзаменатора-собеседника   по каждой теме беседы) – по 2 экземпляра на</w:t>
      </w:r>
      <w:r w:rsidR="00871ADB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A706AF" w:rsidRPr="00DA50B4" w:rsidRDefault="00A706AF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706AF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 организаторам вне аудитории ведомости распределения участников итогового собеседования по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     распределения      участников      итогового      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>ершении проведения итогового собеседования принять в штабе от организаторов вне аудитории 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DA50B4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 </w:t>
      </w:r>
      <w:r w:rsidR="001B3C47"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сроком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не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менее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2-хмесяцев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со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дня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завершения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итогового собеседования. По истечении указанного срока уничтожить файлы с составлением</w:t>
      </w:r>
      <w:r w:rsidR="000F4D6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2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871ADB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871ADB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lastRenderedPageBreak/>
        <w:t>Технический специалист должен быть ознакомлен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C50CC0">
        <w:rPr>
          <w:sz w:val="26"/>
          <w:szCs w:val="26"/>
        </w:rPr>
        <w:t>аудиоформатах</w:t>
      </w:r>
      <w:proofErr w:type="spellEnd"/>
      <w:r w:rsidRPr="00C50CC0">
        <w:rPr>
          <w:sz w:val="26"/>
          <w:szCs w:val="26"/>
        </w:rPr>
        <w:t xml:space="preserve"> (*.</w:t>
      </w:r>
      <w:proofErr w:type="spellStart"/>
      <w:r w:rsidRPr="00C50CC0">
        <w:rPr>
          <w:sz w:val="26"/>
          <w:szCs w:val="26"/>
        </w:rPr>
        <w:t>wav</w:t>
      </w:r>
      <w:proofErr w:type="spellEnd"/>
      <w:r w:rsidRPr="00C50CC0">
        <w:rPr>
          <w:sz w:val="26"/>
          <w:szCs w:val="26"/>
        </w:rPr>
        <w:t>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proofErr w:type="spellStart"/>
      <w:r w:rsidR="009432B9" w:rsidRPr="00C06D96">
        <w:rPr>
          <w:sz w:val="26"/>
          <w:szCs w:val="26"/>
          <w:lang w:val="en-US"/>
        </w:rPr>
        <w:t>fipi</w:t>
      </w:r>
      <w:proofErr w:type="spellEnd"/>
      <w:r w:rsidR="009432B9" w:rsidRPr="00C06D96">
        <w:rPr>
          <w:sz w:val="26"/>
          <w:szCs w:val="26"/>
        </w:rPr>
        <w:t>.</w:t>
      </w:r>
      <w:proofErr w:type="spellStart"/>
      <w:r w:rsidR="009432B9" w:rsidRPr="00C06D96">
        <w:rPr>
          <w:sz w:val="26"/>
          <w:szCs w:val="26"/>
          <w:lang w:val="en-US"/>
        </w:rPr>
        <w:t>ru</w:t>
      </w:r>
      <w:proofErr w:type="spellEnd"/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A706AF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260606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 xml:space="preserve">Не позднее чем за 60 минут до начала проведения итогового собеседования совместно с ответственным организатором получает через </w:t>
      </w:r>
      <w:r w:rsidR="00225972"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1" w:history="1">
        <w:r w:rsidR="00225972" w:rsidRPr="00FD7D7A">
          <w:rPr>
            <w:rStyle w:val="a6"/>
            <w:sz w:val="26"/>
            <w:szCs w:val="26"/>
          </w:rPr>
          <w:t>http://rcoi58.ru</w:t>
        </w:r>
      </w:hyperlink>
      <w:r w:rsidR="00225972"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A706AF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A706A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0F4D6F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871ADB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 xml:space="preserve">демоверсиями материалов для проведения итогового собеседования, размещенными на официальном сайте </w:t>
      </w:r>
      <w:proofErr w:type="gramStart"/>
      <w:r w:rsidRPr="00370602">
        <w:rPr>
          <w:sz w:val="26"/>
          <w:szCs w:val="26"/>
        </w:rPr>
        <w:t>ФГБНУ«</w:t>
      </w:r>
      <w:proofErr w:type="gramEnd"/>
      <w:r w:rsidRPr="00370602">
        <w:rPr>
          <w:sz w:val="26"/>
          <w:szCs w:val="26"/>
        </w:rPr>
        <w:t>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3331C4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3331C4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ведомости      распределения      участников      итогового       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>09:00 сообщить организатору вне аудитории о готовности начать итоговое собеседование для</w:t>
      </w:r>
      <w:r w:rsidR="00871ADB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вне аудитории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0F4D6F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lastRenderedPageBreak/>
        <w:t>лекарственные средства (при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себя:</w:t>
      </w:r>
    </w:p>
    <w:p w:rsidR="0084134E" w:rsidRPr="00D5087B" w:rsidRDefault="00871ADB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871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Создает</w:t>
      </w:r>
      <w:r w:rsidRPr="00D5087B">
        <w:rPr>
          <w:sz w:val="26"/>
          <w:szCs w:val="26"/>
        </w:rPr>
        <w:tab/>
        <w:t>доброжелательную</w:t>
      </w:r>
      <w:r w:rsidRPr="00D5087B">
        <w:rPr>
          <w:sz w:val="26"/>
          <w:szCs w:val="26"/>
        </w:rPr>
        <w:tab/>
        <w:t>рабочую</w:t>
      </w:r>
      <w:r w:rsidRPr="00D5087B">
        <w:rPr>
          <w:sz w:val="26"/>
          <w:szCs w:val="26"/>
        </w:rPr>
        <w:tab/>
        <w:t>атмосферу, исполняет</w:t>
      </w:r>
      <w:r w:rsidRPr="00D5087B">
        <w:rPr>
          <w:sz w:val="26"/>
          <w:szCs w:val="26"/>
        </w:rPr>
        <w:tab/>
      </w:r>
      <w:r w:rsidRPr="00D5087B">
        <w:rPr>
          <w:spacing w:val="-5"/>
          <w:sz w:val="26"/>
          <w:szCs w:val="26"/>
        </w:rPr>
        <w:t xml:space="preserve">роль </w:t>
      </w:r>
      <w:r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приглашает организатора вне аудитории, который сопровождает участника в медицинский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Pr="00D5087B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84134E" w:rsidRPr="00D5087B" w:rsidRDefault="0084134E" w:rsidP="005145EF">
      <w:pPr>
        <w:rPr>
          <w:sz w:val="26"/>
          <w:szCs w:val="26"/>
        </w:rPr>
        <w:sectPr w:rsidR="0084134E" w:rsidRPr="00D5087B">
          <w:pgSz w:w="11910" w:h="16840"/>
          <w:pgMar w:top="1120" w:right="600" w:bottom="280" w:left="600" w:header="720" w:footer="720" w:gutter="0"/>
          <w:cols w:space="720"/>
        </w:sect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lastRenderedPageBreak/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Отмечает</w:t>
      </w:r>
      <w:r w:rsidRPr="00D5087B">
        <w:rPr>
          <w:sz w:val="26"/>
          <w:szCs w:val="26"/>
        </w:rPr>
        <w:tab/>
        <w:t>неявку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  <w:t>собеседования</w:t>
      </w:r>
      <w:r w:rsidRPr="00D5087B">
        <w:rPr>
          <w:sz w:val="26"/>
          <w:szCs w:val="26"/>
        </w:rPr>
        <w:tab/>
        <w:t>в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ведомости </w:t>
      </w:r>
      <w:r w:rsidRPr="00D5087B">
        <w:rPr>
          <w:sz w:val="26"/>
          <w:szCs w:val="26"/>
        </w:rPr>
        <w:t>распределения.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Приглашает</w:t>
      </w:r>
      <w:r w:rsidRPr="00D5087B">
        <w:rPr>
          <w:sz w:val="26"/>
          <w:szCs w:val="26"/>
        </w:rPr>
        <w:tab/>
        <w:t>технического</w:t>
      </w:r>
      <w:r w:rsidRPr="00D5087B">
        <w:rPr>
          <w:sz w:val="26"/>
          <w:szCs w:val="26"/>
        </w:rPr>
        <w:tab/>
        <w:t>специалиста</w:t>
      </w:r>
      <w:r w:rsidRPr="00D5087B">
        <w:rPr>
          <w:sz w:val="26"/>
          <w:szCs w:val="26"/>
        </w:rPr>
        <w:tab/>
        <w:t>для</w:t>
      </w:r>
      <w:r w:rsidRPr="00D5087B">
        <w:rPr>
          <w:sz w:val="26"/>
          <w:szCs w:val="26"/>
        </w:rPr>
        <w:tab/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ведомости</w:t>
      </w:r>
      <w:r w:rsidRPr="00D5087B">
        <w:rPr>
          <w:sz w:val="26"/>
          <w:szCs w:val="26"/>
        </w:rPr>
        <w:tab/>
        <w:t>распределения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собеседования </w:t>
      </w:r>
      <w:r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4" w:name="OLE_LINK1"/>
            <w:bookmarkStart w:id="5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871ADB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</w:t>
            </w:r>
            <w:r w:rsidRPr="00D5087B">
              <w:rPr>
                <w:sz w:val="26"/>
                <w:szCs w:val="26"/>
              </w:rPr>
              <w:lastRenderedPageBreak/>
              <w:t xml:space="preserve">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4"/>
      <w:bookmarkEnd w:id="5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340A3A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FC3941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 xml:space="preserve">олучить от ответственного организатора </w:t>
      </w:r>
      <w:r w:rsidR="00B4233D">
        <w:rPr>
          <w:sz w:val="26"/>
          <w:szCs w:val="26"/>
        </w:rPr>
        <w:t>ОО</w:t>
      </w:r>
      <w:r w:rsidR="009432B9" w:rsidRPr="00FC3941">
        <w:rPr>
          <w:sz w:val="26"/>
          <w:szCs w:val="26"/>
        </w:rPr>
        <w:t xml:space="preserve"> следующие материалы: 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протокол</w:t>
      </w:r>
      <w:r w:rsidR="009777E9" w:rsidRPr="00FC3941">
        <w:rPr>
          <w:sz w:val="26"/>
          <w:szCs w:val="26"/>
        </w:rPr>
        <w:t>ы</w:t>
      </w:r>
      <w:r w:rsidRPr="00FC3941">
        <w:rPr>
          <w:sz w:val="26"/>
          <w:szCs w:val="26"/>
        </w:rPr>
        <w:t xml:space="preserve"> эксперта по оцениванию ответов участников итогового собеседования</w:t>
      </w:r>
      <w:r w:rsidR="00FC3941" w:rsidRPr="00FC3941">
        <w:rPr>
          <w:sz w:val="26"/>
          <w:szCs w:val="26"/>
        </w:rPr>
        <w:t xml:space="preserve"> (форма в приложении 6)</w:t>
      </w:r>
      <w:r w:rsidRPr="00FC3941">
        <w:rPr>
          <w:sz w:val="26"/>
          <w:szCs w:val="26"/>
        </w:rPr>
        <w:t>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lastRenderedPageBreak/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упаковыва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7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 w:rsidR="00871ADB">
              <w:rPr>
                <w:b/>
                <w:sz w:val="26"/>
                <w:szCs w:val="26"/>
              </w:rPr>
              <w:t xml:space="preserve">подробного* </w:t>
            </w:r>
            <w:r w:rsidRPr="00B66452">
              <w:rPr>
                <w:b/>
                <w:sz w:val="26"/>
                <w:szCs w:val="26"/>
              </w:rPr>
              <w:t>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добавлены </w:t>
            </w:r>
            <w:proofErr w:type="spellStart"/>
            <w:r>
              <w:rPr>
                <w:sz w:val="26"/>
                <w:szCs w:val="26"/>
              </w:rPr>
              <w:t>болеедвухмикротем</w:t>
            </w:r>
            <w:proofErr w:type="spellEnd"/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871ADB">
        <w:rPr>
          <w:b/>
          <w:bCs/>
          <w:sz w:val="23"/>
          <w:szCs w:val="23"/>
        </w:rPr>
        <w:lastRenderedPageBreak/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B66452" w:rsidRDefault="009432B9" w:rsidP="009432B9">
      <w:pPr>
        <w:pStyle w:val="a7"/>
        <w:ind w:left="0" w:firstLine="567"/>
        <w:jc w:val="both"/>
        <w:rPr>
          <w:i/>
          <w:sz w:val="2"/>
          <w:szCs w:val="2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</w:t>
      </w:r>
      <w:r w:rsidR="00871ADB">
        <w:rPr>
          <w:sz w:val="26"/>
          <w:szCs w:val="26"/>
        </w:rPr>
        <w:t>1</w:t>
      </w:r>
      <w:r w:rsidRPr="00B66452">
        <w:rPr>
          <w:sz w:val="26"/>
          <w:szCs w:val="26"/>
        </w:rPr>
        <w:t>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9432B9">
        <w:tc>
          <w:tcPr>
            <w:tcW w:w="128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88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88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c>
          <w:tcPr>
            <w:tcW w:w="847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841B76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lastRenderedPageBreak/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9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FE514A" w:rsidP="00FE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8. Ведомость учета проведения итогового собеседования</w:t>
      </w:r>
      <w:bookmarkEnd w:id="10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1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1"/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</w:p>
    <w:tbl>
      <w:tblPr>
        <w:tblW w:w="1119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60"/>
        <w:gridCol w:w="400"/>
        <w:gridCol w:w="280"/>
        <w:gridCol w:w="60"/>
        <w:gridCol w:w="1020"/>
        <w:gridCol w:w="110"/>
        <w:gridCol w:w="821"/>
        <w:gridCol w:w="390"/>
        <w:gridCol w:w="60"/>
        <w:gridCol w:w="230"/>
        <w:gridCol w:w="220"/>
        <w:gridCol w:w="340"/>
        <w:gridCol w:w="230"/>
        <w:gridCol w:w="280"/>
        <w:gridCol w:w="60"/>
        <w:gridCol w:w="340"/>
        <w:gridCol w:w="510"/>
        <w:gridCol w:w="290"/>
        <w:gridCol w:w="50"/>
        <w:gridCol w:w="680"/>
        <w:gridCol w:w="400"/>
        <w:gridCol w:w="60"/>
        <w:gridCol w:w="280"/>
        <w:gridCol w:w="110"/>
        <w:gridCol w:w="170"/>
        <w:gridCol w:w="120"/>
        <w:gridCol w:w="1070"/>
        <w:gridCol w:w="60"/>
        <w:gridCol w:w="60"/>
        <w:gridCol w:w="1070"/>
      </w:tblGrid>
      <w:tr w:rsidR="00B76667" w:rsidTr="00B76667"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7428EF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200">
              <w:rPr>
                <w:b/>
                <w:sz w:val="26"/>
                <w:szCs w:val="26"/>
              </w:rPr>
              <w:br w:type="page"/>
            </w:r>
          </w:p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ИС-02. Форма ведомости учета проведения итогового собеседования в аудитории</w:t>
            </w: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1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Субъект РФ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МСУ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ОО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6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Собеседование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февраля 2021 г.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40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 участника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начала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завершения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18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350"/>
        </w:trPr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экзаменатора-собеседника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Подпись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</w:tr>
      <w:tr w:rsidR="00B76667" w:rsidTr="00B76667">
        <w:trPr>
          <w:trHeight w:hRule="exact" w:val="5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Pr="00FE514A" w:rsidRDefault="00FE514A" w:rsidP="00FE5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514A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175B6F8" wp14:editId="4BF93A6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794385</wp:posOffset>
                  </wp:positionV>
                  <wp:extent cx="6496050" cy="8317230"/>
                  <wp:effectExtent l="0" t="0" r="0" b="0"/>
                  <wp:wrapSquare wrapText="bothSides"/>
                  <wp:docPr id="2" name="Рисунок 2" descr="F: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831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667" w:rsidRPr="00FE514A">
              <w:rPr>
                <w:b/>
                <w:sz w:val="28"/>
                <w:szCs w:val="28"/>
              </w:rPr>
              <w:t xml:space="preserve">Приложение 9. Протокол эксперта по оцениванию ответов участников итогового собеседования </w:t>
            </w:r>
            <w:r w:rsidR="00B76667" w:rsidRPr="00FE514A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E514A" w:rsidRDefault="00FE514A" w:rsidP="00340A3A"/>
    <w:p w:rsidR="00340A3A" w:rsidRPr="00340A3A" w:rsidRDefault="00340A3A" w:rsidP="00FE514A">
      <w:pPr>
        <w:spacing w:after="160" w:line="259" w:lineRule="auto"/>
        <w:sectPr w:rsidR="00340A3A" w:rsidRPr="00340A3A" w:rsidSect="00B76667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2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2"/>
    </w:p>
    <w:p w:rsidR="007428EF" w:rsidRPr="007A5CBE" w:rsidRDefault="007428EF" w:rsidP="007428EF"/>
    <w:p w:rsidR="00521946" w:rsidRDefault="007428EF" w:rsidP="007428EF">
      <w:pPr>
        <w:rPr>
          <w:szCs w:val="26"/>
        </w:rPr>
      </w:pPr>
      <w:r w:rsidRPr="00476858">
        <w:rPr>
          <w:noProof/>
          <w:szCs w:val="26"/>
        </w:rPr>
        <w:drawing>
          <wp:inline distT="0" distB="0" distL="0" distR="0" wp14:anchorId="491DC1BF" wp14:editId="159E910F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46" w:rsidRPr="00521946" w:rsidRDefault="00521946" w:rsidP="00521946">
      <w:pPr>
        <w:rPr>
          <w:szCs w:val="26"/>
        </w:rPr>
      </w:pPr>
    </w:p>
    <w:p w:rsidR="00521946" w:rsidRDefault="00521946" w:rsidP="00521946">
      <w:pPr>
        <w:rPr>
          <w:szCs w:val="26"/>
        </w:rPr>
      </w:pPr>
    </w:p>
    <w:p w:rsidR="007428EF" w:rsidRDefault="007428EF" w:rsidP="007428EF">
      <w:pPr>
        <w:rPr>
          <w:szCs w:val="26"/>
        </w:rPr>
      </w:pPr>
    </w:p>
    <w:sectPr w:rsidR="007428EF" w:rsidSect="00B7666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73" w:rsidRDefault="00190173" w:rsidP="00E013F0">
      <w:r>
        <w:separator/>
      </w:r>
    </w:p>
  </w:endnote>
  <w:endnote w:type="continuationSeparator" w:id="0">
    <w:p w:rsidR="00190173" w:rsidRDefault="00190173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7" w:rsidRDefault="00B76667">
    <w:pPr>
      <w:pStyle w:val="a3"/>
      <w:jc w:val="right"/>
    </w:pPr>
  </w:p>
  <w:p w:rsidR="00B76667" w:rsidRDefault="00B766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90165"/>
      <w:docPartObj>
        <w:docPartGallery w:val="Page Numbers (Bottom of Page)"/>
        <w:docPartUnique/>
      </w:docPartObj>
    </w:sdtPr>
    <w:sdtEndPr/>
    <w:sdtContent>
      <w:p w:rsidR="00B76667" w:rsidRDefault="00B766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67" w:rsidRDefault="00B766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73" w:rsidRDefault="00190173" w:rsidP="00E013F0">
      <w:r>
        <w:separator/>
      </w:r>
    </w:p>
  </w:footnote>
  <w:footnote w:type="continuationSeparator" w:id="0">
    <w:p w:rsidR="00190173" w:rsidRDefault="00190173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1F"/>
    <w:rsid w:val="000078CD"/>
    <w:rsid w:val="000502E5"/>
    <w:rsid w:val="00097279"/>
    <w:rsid w:val="000F4D6F"/>
    <w:rsid w:val="001210E3"/>
    <w:rsid w:val="00190173"/>
    <w:rsid w:val="001B3C47"/>
    <w:rsid w:val="001E4B9E"/>
    <w:rsid w:val="00225972"/>
    <w:rsid w:val="00245F6E"/>
    <w:rsid w:val="00260606"/>
    <w:rsid w:val="002B337D"/>
    <w:rsid w:val="003331C4"/>
    <w:rsid w:val="00340A3A"/>
    <w:rsid w:val="00345FF2"/>
    <w:rsid w:val="00346032"/>
    <w:rsid w:val="00370602"/>
    <w:rsid w:val="003E6031"/>
    <w:rsid w:val="00440299"/>
    <w:rsid w:val="004A610D"/>
    <w:rsid w:val="004C4382"/>
    <w:rsid w:val="004D4BD5"/>
    <w:rsid w:val="004F1B3B"/>
    <w:rsid w:val="005145EF"/>
    <w:rsid w:val="00520980"/>
    <w:rsid w:val="00521946"/>
    <w:rsid w:val="005233E0"/>
    <w:rsid w:val="00542B96"/>
    <w:rsid w:val="00582DCC"/>
    <w:rsid w:val="005F3226"/>
    <w:rsid w:val="0061340E"/>
    <w:rsid w:val="00631F12"/>
    <w:rsid w:val="006770F0"/>
    <w:rsid w:val="006A5EBF"/>
    <w:rsid w:val="006A6F1C"/>
    <w:rsid w:val="00705F57"/>
    <w:rsid w:val="0073251F"/>
    <w:rsid w:val="007428EF"/>
    <w:rsid w:val="00781C21"/>
    <w:rsid w:val="007E49CA"/>
    <w:rsid w:val="007F33BF"/>
    <w:rsid w:val="0084134E"/>
    <w:rsid w:val="00841B76"/>
    <w:rsid w:val="0084797C"/>
    <w:rsid w:val="00871ADB"/>
    <w:rsid w:val="00891A59"/>
    <w:rsid w:val="008A5B52"/>
    <w:rsid w:val="008E56AA"/>
    <w:rsid w:val="00911D65"/>
    <w:rsid w:val="00913FB8"/>
    <w:rsid w:val="009432B9"/>
    <w:rsid w:val="009777E9"/>
    <w:rsid w:val="00985C6B"/>
    <w:rsid w:val="00A56BA5"/>
    <w:rsid w:val="00A62C87"/>
    <w:rsid w:val="00A63DA1"/>
    <w:rsid w:val="00A706AF"/>
    <w:rsid w:val="00A84EB3"/>
    <w:rsid w:val="00AA08A4"/>
    <w:rsid w:val="00B4233D"/>
    <w:rsid w:val="00B76667"/>
    <w:rsid w:val="00B93684"/>
    <w:rsid w:val="00BB2692"/>
    <w:rsid w:val="00BB6BF2"/>
    <w:rsid w:val="00BC31B0"/>
    <w:rsid w:val="00BC604F"/>
    <w:rsid w:val="00BD7EDB"/>
    <w:rsid w:val="00BE4663"/>
    <w:rsid w:val="00C06D96"/>
    <w:rsid w:val="00C316B4"/>
    <w:rsid w:val="00C50CC0"/>
    <w:rsid w:val="00C73FD9"/>
    <w:rsid w:val="00C84F92"/>
    <w:rsid w:val="00C92B36"/>
    <w:rsid w:val="00C92E65"/>
    <w:rsid w:val="00D063E3"/>
    <w:rsid w:val="00D24479"/>
    <w:rsid w:val="00D35BD6"/>
    <w:rsid w:val="00D5087B"/>
    <w:rsid w:val="00D669B3"/>
    <w:rsid w:val="00D70C08"/>
    <w:rsid w:val="00DA50B4"/>
    <w:rsid w:val="00E013F0"/>
    <w:rsid w:val="00E376EC"/>
    <w:rsid w:val="00E61CE6"/>
    <w:rsid w:val="00E77860"/>
    <w:rsid w:val="00F512D6"/>
    <w:rsid w:val="00F61D12"/>
    <w:rsid w:val="00FB600C"/>
    <w:rsid w:val="00FC3941"/>
    <w:rsid w:val="00FD7DAC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FF3B8-AC2A-4BCF-B3C7-298604B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B7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coi5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63A-C817-4C66-8FA3-A3E14C9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13</cp:revision>
  <dcterms:created xsi:type="dcterms:W3CDTF">2019-12-20T08:12:00Z</dcterms:created>
  <dcterms:modified xsi:type="dcterms:W3CDTF">2021-01-29T11:34:00Z</dcterms:modified>
</cp:coreProperties>
</file>